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DE889">
      <w:pPr>
        <w:spacing w:line="360" w:lineRule="auto"/>
        <w:ind w:firstLine="602"/>
        <w:jc w:val="center"/>
        <w:rPr>
          <w:rFonts w:hint="eastAsia" w:ascii="宋体" w:hAnsi="宋体" w:cs="Times New Roman"/>
          <w:b/>
          <w:sz w:val="30"/>
          <w:szCs w:val="30"/>
        </w:rPr>
      </w:pPr>
      <w:r>
        <w:rPr>
          <w:rFonts w:hint="eastAsia" w:ascii="宋体" w:hAnsi="宋体" w:cs="Times New Roman"/>
          <w:b/>
          <w:sz w:val="30"/>
          <w:szCs w:val="30"/>
        </w:rPr>
        <w:t>第</w:t>
      </w: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cs="Times New Roman"/>
          <w:b/>
          <w:sz w:val="30"/>
          <w:szCs w:val="30"/>
        </w:rPr>
        <w:t>课 《</w:t>
      </w: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>“非”运算巧妙控灯</w:t>
      </w:r>
      <w:r>
        <w:rPr>
          <w:rFonts w:hint="eastAsia" w:ascii="宋体" w:hAnsi="宋体" w:cs="Times New Roman"/>
          <w:b/>
          <w:sz w:val="30"/>
          <w:szCs w:val="30"/>
        </w:rPr>
        <w:t>》 教学设计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F5B5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54" w:type="dxa"/>
          </w:tcPr>
          <w:p w14:paraId="0C30EB86">
            <w:pPr>
              <w:spacing w:before="156" w:beforeLines="50" w:line="340" w:lineRule="exact"/>
              <w:rPr>
                <w:rFonts w:hint="eastAsia" w:ascii="宋体" w:hAnsi="宋体"/>
                <w:b/>
                <w:szCs w:val="21"/>
              </w:rPr>
            </w:pPr>
            <w:bookmarkStart w:id="0" w:name="_Hlk175393964"/>
            <w:r>
              <w:rPr>
                <w:rFonts w:hint="eastAsia" w:ascii="宋体" w:hAnsi="宋体"/>
                <w:b/>
                <w:szCs w:val="21"/>
              </w:rPr>
              <w:t>【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教学</w:t>
            </w:r>
            <w:r>
              <w:rPr>
                <w:rFonts w:hint="eastAsia" w:ascii="宋体" w:hAnsi="宋体"/>
                <w:b/>
                <w:szCs w:val="21"/>
              </w:rPr>
              <w:t>目标】</w:t>
            </w:r>
          </w:p>
          <w:p w14:paraId="28ECACDE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1" w:name="_Toc21827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1.通过分析生活中的“非”运算案例，理解逻辑“非”的基本规则及其在控制场景中的应用，掌握“取反”的思维方法。</w:t>
            </w:r>
            <w:bookmarkEnd w:id="1"/>
          </w:p>
          <w:p w14:paraId="6715B9D4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2" w:name="_Toc2490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2.结合“与”运算和“非”运算的综合应用，能够归纳声光控系统的工作原理，体会逻辑运算在解决实际问题中的关联性与功能性。</w:t>
            </w:r>
            <w:bookmarkEnd w:id="2"/>
          </w:p>
          <w:p w14:paraId="28E1CEBD">
            <w:pPr>
              <w:spacing w:line="44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bookmarkStart w:id="3" w:name="_Toc9868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3.通过设计并模拟声光控灯程序，运用“输入—判断—输出”模型绘制流程图或编写程序，提升逻辑推理与数字化实践能力。</w:t>
            </w:r>
            <w:bookmarkEnd w:id="3"/>
          </w:p>
          <w:p w14:paraId="1C9EDC66">
            <w:pPr>
              <w:spacing w:line="4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【教学准备】</w:t>
            </w:r>
          </w:p>
          <w:p w14:paraId="38BD1C5A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1.教学课件</w:t>
            </w:r>
          </w:p>
          <w:p w14:paraId="6504E64B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2.学习任务单</w:t>
            </w:r>
          </w:p>
          <w:p w14:paraId="6CCCEC2C">
            <w:pPr>
              <w:spacing w:before="156" w:beforeLines="50" w:line="40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【教学过程】</w:t>
            </w:r>
          </w:p>
          <w:p w14:paraId="326F05A1">
            <w:pPr>
              <w:tabs>
                <w:tab w:val="left" w:pos="312"/>
              </w:tabs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导入新课</w:t>
            </w:r>
          </w:p>
          <w:p w14:paraId="1CCE90B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展示生活中用逆向思维解决问题的案例，提问逆向思维的作用。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引出逻辑运算中的“非”运算。</w:t>
            </w:r>
          </w:p>
          <w:p w14:paraId="055DBC1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引导学生观看案例，思考并回答问题。小组讨论逆向思维的应用场景。</w:t>
            </w:r>
          </w:p>
          <w:p w14:paraId="7826333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相对正向思维，逆向思维是反其道而行之，在逻辑运算中，我们可以用“非”运算进行表达。本节课，我们将以具体事例分析“非”运算，应用“非”运算。</w:t>
            </w:r>
          </w:p>
          <w:p w14:paraId="34FDA857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生活中的“非”运算</w:t>
            </w:r>
          </w:p>
          <w:p w14:paraId="226175D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1.全班交流。展示生活中“非”运算的场景案例，如医生建议“非高糖”饮食、招聘“非吸烟者”优先等,思考这些例子的共同点。提问学生在生活中观察到的“非”运算案例，完成【课堂任务一】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28"/>
            </w:tblGrid>
            <w:tr w14:paraId="3CE8D0A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40" w:hRule="atLeast"/>
              </w:trPr>
              <w:tc>
                <w:tcPr>
                  <w:tcW w:w="9638" w:type="dxa"/>
                </w:tcPr>
                <w:p w14:paraId="5BFF4640"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【课堂任务一】</w:t>
                  </w:r>
                </w:p>
                <w:p w14:paraId="6C70ECC0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60" w:lineRule="auto"/>
                    <w:ind w:firstLine="480" w:firstLineChars="200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请大家仔细阅读上述例子，填写表2.3.1，思考它们有什么共同点。</w:t>
                  </w:r>
                </w:p>
                <w:p w14:paraId="10B47AF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表2.3.1 生活中的“非”运算案例分析表</w:t>
                  </w:r>
                </w:p>
                <w:tbl>
                  <w:tblPr>
                    <w:tblStyle w:val="8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076"/>
                    <w:gridCol w:w="2076"/>
                    <w:gridCol w:w="2077"/>
                    <w:gridCol w:w="2077"/>
                  </w:tblGrid>
                  <w:tr w14:paraId="4B3190B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076" w:type="dxa"/>
                      </w:tcPr>
                      <w:p w14:paraId="78354678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描述场景</w:t>
                        </w:r>
                      </w:p>
                    </w:tc>
                    <w:tc>
                      <w:tcPr>
                        <w:tcW w:w="2076" w:type="dxa"/>
                      </w:tcPr>
                      <w:p w14:paraId="7E6D0475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选择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00A3199D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舍弃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56CF492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“非”运算的效果</w:t>
                        </w:r>
                      </w:p>
                    </w:tc>
                  </w:tr>
                  <w:tr w14:paraId="166E4E21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076" w:type="dxa"/>
                      </w:tcPr>
                      <w:p w14:paraId="53C82C9E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健康建议</w:t>
                        </w:r>
                      </w:p>
                    </w:tc>
                    <w:tc>
                      <w:tcPr>
                        <w:tcW w:w="2076" w:type="dxa"/>
                      </w:tcPr>
                      <w:p w14:paraId="0E1EBC09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“非高糖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42DB6AB4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高糖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50F4346C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取反</w:t>
                        </w:r>
                      </w:p>
                    </w:tc>
                  </w:tr>
                  <w:tr w14:paraId="60C606C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076" w:type="dxa"/>
                      </w:tcPr>
                      <w:p w14:paraId="1461D86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招聘选择</w:t>
                        </w:r>
                      </w:p>
                    </w:tc>
                    <w:tc>
                      <w:tcPr>
                        <w:tcW w:w="2076" w:type="dxa"/>
                      </w:tcPr>
                      <w:p w14:paraId="4E360963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“非吸烟者”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539E04B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吸烟者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52E1F16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取反</w:t>
                        </w:r>
                      </w:p>
                    </w:tc>
                  </w:tr>
                  <w:tr w14:paraId="3385994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076" w:type="dxa"/>
                      </w:tcPr>
                      <w:p w14:paraId="095B6422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衣服选择</w:t>
                        </w:r>
                      </w:p>
                    </w:tc>
                    <w:tc>
                      <w:tcPr>
                        <w:tcW w:w="2076" w:type="dxa"/>
                      </w:tcPr>
                      <w:p w14:paraId="276F223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“非红色”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2290597E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红色衣服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6DAA8C83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取反</w:t>
                        </w:r>
                      </w:p>
                    </w:tc>
                  </w:tr>
                  <w:tr w14:paraId="3FB18DE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076" w:type="dxa"/>
                      </w:tcPr>
                      <w:p w14:paraId="7C7C513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聚会着装</w:t>
                        </w:r>
                      </w:p>
                    </w:tc>
                    <w:tc>
                      <w:tcPr>
                        <w:tcW w:w="2076" w:type="dxa"/>
                      </w:tcPr>
                      <w:p w14:paraId="6126C9B5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“非正式”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ab/>
                        </w:r>
                      </w:p>
                    </w:tc>
                    <w:tc>
                      <w:tcPr>
                        <w:tcW w:w="2077" w:type="dxa"/>
                      </w:tcPr>
                      <w:p w14:paraId="19BA5A2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正式着装</w:t>
                        </w:r>
                      </w:p>
                    </w:tc>
                    <w:tc>
                      <w:tcPr>
                        <w:tcW w:w="2077" w:type="dxa"/>
                      </w:tcPr>
                      <w:p w14:paraId="57F19404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取反</w:t>
                        </w:r>
                      </w:p>
                    </w:tc>
                  </w:tr>
                </w:tbl>
                <w:p w14:paraId="30BB115E">
                  <w:pPr>
                    <w:spacing w:line="360" w:lineRule="auto"/>
                    <w:rPr>
                      <w:rFonts w:hint="eastAsia" w:ascii="宋体" w:hAnsi="宋体" w:cs="宋体"/>
                      <w:sz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184AF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学生阅读案例，填写表2.3.1，思考案例共同点。</w:t>
            </w:r>
          </w:p>
          <w:p w14:paraId="4A5C3FF5">
            <w:pPr>
              <w:numPr>
                <w:ilvl w:val="0"/>
                <w:numId w:val="2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案例分析。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探索：小组合作完成【课堂任务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】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分析生活中“非”运算案例。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28"/>
            </w:tblGrid>
            <w:tr w14:paraId="3A7DBE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38" w:type="dxa"/>
                </w:tcPr>
                <w:p w14:paraId="1576CD27"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【课堂任务二】</w:t>
                  </w:r>
                </w:p>
                <w:p w14:paraId="51CBC216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60" w:lineRule="auto"/>
                    <w:ind w:firstLine="480" w:firstLineChars="200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请同学们思考你在生活中观察到的“非”运算案例，并完成表2.3.2。</w:t>
                  </w:r>
                </w:p>
                <w:p w14:paraId="0CA4642C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表2.3.2“非”运算描述记录表</w:t>
                  </w:r>
                </w:p>
                <w:tbl>
                  <w:tblPr>
                    <w:tblStyle w:val="8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845"/>
                    <w:gridCol w:w="5461"/>
                  </w:tblGrid>
                  <w:tr w14:paraId="37816DC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845" w:type="dxa"/>
                      </w:tcPr>
                      <w:p w14:paraId="1E3422C3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例子</w:t>
                        </w:r>
                      </w:p>
                    </w:tc>
                    <w:tc>
                      <w:tcPr>
                        <w:tcW w:w="5461" w:type="dxa"/>
                      </w:tcPr>
                      <w:p w14:paraId="7C4F5A40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“非”运算描述</w:t>
                        </w:r>
                      </w:p>
                    </w:tc>
                  </w:tr>
                  <w:tr w14:paraId="774B2EF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845" w:type="dxa"/>
                      </w:tcPr>
                      <w:p w14:paraId="6D8BA85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桌上硬币面的朝向</w:t>
                        </w:r>
                      </w:p>
                    </w:tc>
                    <w:tc>
                      <w:tcPr>
                        <w:tcW w:w="5461" w:type="dxa"/>
                      </w:tcPr>
                      <w:p w14:paraId="6D9D9610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桌上硬币不是正面朝上就是反面朝上</w:t>
                        </w:r>
                      </w:p>
                    </w:tc>
                  </w:tr>
                  <w:tr w14:paraId="2CD4119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845" w:type="dxa"/>
                      </w:tcPr>
                      <w:p w14:paraId="4A39163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闹钟的设置</w:t>
                        </w:r>
                      </w:p>
                    </w:tc>
                    <w:tc>
                      <w:tcPr>
                        <w:tcW w:w="5461" w:type="dxa"/>
                      </w:tcPr>
                      <w:p w14:paraId="0CD94663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闹钟要么处于开启状态，要么处于关闭状态，设置开启时舍弃关闭，设置关闭时舍弃开启</w:t>
                        </w:r>
                      </w:p>
                    </w:tc>
                  </w:tr>
                  <w:tr w14:paraId="21605B7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845" w:type="dxa"/>
                      </w:tcPr>
                      <w:p w14:paraId="037B30A0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开关的状态</w:t>
                        </w:r>
                      </w:p>
                    </w:tc>
                    <w:tc>
                      <w:tcPr>
                        <w:tcW w:w="5461" w:type="dxa"/>
                      </w:tcPr>
                      <w:p w14:paraId="40926884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开关要么是打开状态，要么是关闭状态，选择打开时舍弃关闭，选择关闭时舍弃打开</w:t>
                        </w:r>
                      </w:p>
                    </w:tc>
                  </w:tr>
                  <w:tr w14:paraId="07DC086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845" w:type="dxa"/>
                      </w:tcPr>
                      <w:p w14:paraId="66AD388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电梯的运行方向</w:t>
                        </w:r>
                      </w:p>
                    </w:tc>
                    <w:tc>
                      <w:tcPr>
                        <w:tcW w:w="5461" w:type="dxa"/>
                      </w:tcPr>
                      <w:p w14:paraId="7E9A34CD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电梯要么向上运行，要么向下运行，选择向上时舍弃向下，选择向下时舍弃向上</w:t>
                        </w:r>
                      </w:p>
                    </w:tc>
                  </w:tr>
                  <w:tr w14:paraId="50C5C8A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845" w:type="dxa"/>
                      </w:tcPr>
                      <w:p w14:paraId="63545525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手机的网络连接</w:t>
                        </w:r>
                      </w:p>
                    </w:tc>
                    <w:tc>
                      <w:tcPr>
                        <w:tcW w:w="5461" w:type="dxa"/>
                      </w:tcPr>
                      <w:p w14:paraId="151711E6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手机网络会自动切换：连接无线网络时，移动数据会自动断开，反之亦然。</w:t>
                        </w:r>
                      </w:p>
                    </w:tc>
                  </w:tr>
                </w:tbl>
                <w:p w14:paraId="14E6D5C4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default" w:ascii="仿宋" w:hAnsi="仿宋" w:eastAsia="仿宋" w:cs="仿宋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4BFAC833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05B51441"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三、“非”运算的规则</w:t>
            </w:r>
          </w:p>
          <w:p w14:paraId="0322ECB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1.讲解“非”运算的定义，即改变事物当前状态为相反状态，介绍“非”运算真值表（表2.3.3）。</w:t>
            </w:r>
          </w:p>
          <w:p w14:paraId="6D611D46">
            <w:pPr>
              <w:pStyle w:val="3"/>
              <w:spacing w:before="239" w:line="242" w:lineRule="auto"/>
              <w:ind w:left="385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表 2.3.3  “非”运算真值表</w:t>
            </w:r>
          </w:p>
          <w:tbl>
            <w:tblPr>
              <w:tblStyle w:val="13"/>
              <w:tblW w:w="7808" w:type="dxa"/>
              <w:tblInd w:w="1254" w:type="dxa"/>
              <w:tblBorders>
                <w:top w:val="single" w:color="0D94CB" w:sz="2" w:space="0"/>
                <w:left w:val="single" w:color="0D94CB" w:sz="2" w:space="0"/>
                <w:bottom w:val="single" w:color="0D94CB" w:sz="2" w:space="0"/>
                <w:right w:val="single" w:color="0D94CB" w:sz="2" w:space="0"/>
                <w:insideH w:val="single" w:color="0D94CB" w:sz="2" w:space="0"/>
                <w:insideV w:val="single" w:color="0D94CB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1"/>
              <w:gridCol w:w="3239"/>
              <w:gridCol w:w="3248"/>
            </w:tblGrid>
            <w:tr w14:paraId="0BF86D3F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5" w:hRule="atLeast"/>
              </w:trPr>
              <w:tc>
                <w:tcPr>
                  <w:tcW w:w="1321" w:type="dxa"/>
                  <w:tcBorders>
                    <w:top w:val="single" w:color="0D94CB" w:sz="6" w:space="0"/>
                    <w:left w:val="single" w:color="0D94CB" w:sz="6" w:space="0"/>
                  </w:tcBorders>
                  <w:shd w:val="clear" w:color="auto" w:fill="CCECFB"/>
                  <w:vAlign w:val="top"/>
                </w:tcPr>
                <w:p w14:paraId="4A16AB44">
                  <w:pPr>
                    <w:pStyle w:val="12"/>
                    <w:spacing w:before="108" w:line="202" w:lineRule="auto"/>
                    <w:ind w:left="443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pacing w:val="-4"/>
                      <w:sz w:val="24"/>
                      <w:szCs w:val="24"/>
                    </w:rPr>
                    <w:t>真值</w:t>
                  </w:r>
                </w:p>
              </w:tc>
              <w:tc>
                <w:tcPr>
                  <w:tcW w:w="3239" w:type="dxa"/>
                  <w:tcBorders>
                    <w:top w:val="single" w:color="0D94CB" w:sz="6" w:space="0"/>
                  </w:tcBorders>
                  <w:shd w:val="clear" w:color="auto" w:fill="CCECFB"/>
                  <w:vAlign w:val="top"/>
                </w:tcPr>
                <w:p w14:paraId="0565D6DC">
                  <w:pPr>
                    <w:pStyle w:val="12"/>
                    <w:spacing w:before="108" w:line="202" w:lineRule="auto"/>
                    <w:ind w:left="701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pacing w:val="-3"/>
                      <w:sz w:val="24"/>
                      <w:szCs w:val="24"/>
                    </w:rPr>
                    <w:t>“非”运算表达式</w:t>
                  </w:r>
                </w:p>
              </w:tc>
              <w:tc>
                <w:tcPr>
                  <w:tcW w:w="3248" w:type="dxa"/>
                  <w:tcBorders>
                    <w:top w:val="single" w:color="0D94CB" w:sz="6" w:space="0"/>
                    <w:right w:val="single" w:color="0D94CB" w:sz="6" w:space="0"/>
                  </w:tcBorders>
                  <w:shd w:val="clear" w:color="auto" w:fill="CCECFB"/>
                  <w:vAlign w:val="top"/>
                </w:tcPr>
                <w:p w14:paraId="7549B66F">
                  <w:pPr>
                    <w:pStyle w:val="12"/>
                    <w:spacing w:before="108" w:line="202" w:lineRule="auto"/>
                    <w:ind w:left="708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pacing w:val="-3"/>
                      <w:sz w:val="24"/>
                      <w:szCs w:val="24"/>
                    </w:rPr>
                    <w:t>“非”运算后结果</w:t>
                  </w:r>
                </w:p>
              </w:tc>
            </w:tr>
            <w:tr w14:paraId="149869DF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6" w:hRule="atLeast"/>
              </w:trPr>
              <w:tc>
                <w:tcPr>
                  <w:tcW w:w="1321" w:type="dxa"/>
                  <w:tcBorders>
                    <w:left w:val="single" w:color="0D94CB" w:sz="6" w:space="0"/>
                  </w:tcBorders>
                  <w:vAlign w:val="top"/>
                </w:tcPr>
                <w:p w14:paraId="29BA71FD">
                  <w:pPr>
                    <w:spacing w:before="163" w:line="186" w:lineRule="auto"/>
                    <w:ind w:left="621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39" w:type="dxa"/>
                  <w:vAlign w:val="top"/>
                </w:tcPr>
                <w:p w14:paraId="55A7896F">
                  <w:pPr>
                    <w:spacing w:before="163" w:line="186" w:lineRule="auto"/>
                    <w:ind w:left="1249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pacing w:val="-5"/>
                      <w:sz w:val="24"/>
                      <w:szCs w:val="24"/>
                    </w:rPr>
                    <w:t>not</w:t>
                  </w:r>
                  <w:r>
                    <w:rPr>
                      <w:rFonts w:hint="eastAsia" w:ascii="宋体" w:hAnsi="宋体" w:eastAsia="宋体" w:cs="宋体"/>
                      <w:color w:val="231F20"/>
                      <w:spacing w:val="27"/>
                      <w:w w:val="10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31F20"/>
                      <w:spacing w:val="-5"/>
                      <w:sz w:val="24"/>
                      <w:szCs w:val="24"/>
                    </w:rPr>
                    <w:t>1=</w:t>
                  </w:r>
                  <w:r>
                    <w:rPr>
                      <w:rFonts w:hint="eastAsia" w:ascii="宋体" w:hAnsi="宋体" w:eastAsia="宋体" w:cs="宋体"/>
                      <w:color w:val="231F20"/>
                      <w:spacing w:val="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31F20"/>
                      <w:spacing w:val="-5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248" w:type="dxa"/>
                  <w:tcBorders>
                    <w:right w:val="single" w:color="0D94CB" w:sz="6" w:space="0"/>
                  </w:tcBorders>
                  <w:vAlign w:val="top"/>
                </w:tcPr>
                <w:p w14:paraId="0E36D677">
                  <w:pPr>
                    <w:spacing w:before="163" w:line="186" w:lineRule="auto"/>
                    <w:ind w:left="1575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z w:val="24"/>
                      <w:szCs w:val="24"/>
                    </w:rPr>
                    <w:t>0</w:t>
                  </w:r>
                </w:p>
              </w:tc>
            </w:tr>
            <w:tr w14:paraId="64ABB499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4" w:hRule="atLeast"/>
              </w:trPr>
              <w:tc>
                <w:tcPr>
                  <w:tcW w:w="1321" w:type="dxa"/>
                  <w:tcBorders>
                    <w:left w:val="single" w:color="0D94CB" w:sz="6" w:space="0"/>
                    <w:bottom w:val="single" w:color="0D94CB" w:sz="6" w:space="0"/>
                  </w:tcBorders>
                  <w:vAlign w:val="top"/>
                </w:tcPr>
                <w:p w14:paraId="5967FA83">
                  <w:pPr>
                    <w:spacing w:before="168" w:line="186" w:lineRule="auto"/>
                    <w:ind w:left="604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239" w:type="dxa"/>
                  <w:tcBorders>
                    <w:bottom w:val="single" w:color="0D94CB" w:sz="6" w:space="0"/>
                  </w:tcBorders>
                  <w:vAlign w:val="top"/>
                </w:tcPr>
                <w:p w14:paraId="0BF2FEC1">
                  <w:pPr>
                    <w:spacing w:before="168" w:line="186" w:lineRule="auto"/>
                    <w:ind w:left="1249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pacing w:val="-2"/>
                      <w:sz w:val="24"/>
                      <w:szCs w:val="24"/>
                    </w:rPr>
                    <w:t>not</w:t>
                  </w:r>
                  <w:r>
                    <w:rPr>
                      <w:rFonts w:hint="eastAsia" w:ascii="宋体" w:hAnsi="宋体" w:eastAsia="宋体" w:cs="宋体"/>
                      <w:color w:val="231F20"/>
                      <w:spacing w:val="1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31F20"/>
                      <w:spacing w:val="-2"/>
                      <w:sz w:val="24"/>
                      <w:szCs w:val="24"/>
                    </w:rPr>
                    <w:t>0 =1</w:t>
                  </w:r>
                </w:p>
              </w:tc>
              <w:tc>
                <w:tcPr>
                  <w:tcW w:w="3248" w:type="dxa"/>
                  <w:tcBorders>
                    <w:bottom w:val="single" w:color="0D94CB" w:sz="6" w:space="0"/>
                    <w:right w:val="single" w:color="0D94CB" w:sz="6" w:space="0"/>
                  </w:tcBorders>
                  <w:vAlign w:val="top"/>
                </w:tcPr>
                <w:p w14:paraId="561397F9">
                  <w:pPr>
                    <w:spacing w:before="168" w:line="186" w:lineRule="auto"/>
                    <w:ind w:left="1593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231F20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1FAD755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7CEE1C7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2.举例说明“非”运算的规则，如知识竞赛加分、传感器监测等。引导学生思考并分析生活中的案例。</w:t>
            </w:r>
          </w:p>
          <w:p w14:paraId="12098E8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3.探索：小组合作完成【课堂任务三】，分析初始状态和经过“非”运算转换后的结果。</w:t>
            </w:r>
          </w:p>
          <w:tbl>
            <w:tblPr>
              <w:tblStyle w:val="8"/>
              <w:tblpPr w:leftFromText="180" w:rightFromText="180" w:vertAnchor="text" w:horzAnchor="page" w:tblpX="117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49"/>
            </w:tblGrid>
            <w:tr w14:paraId="2252EF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449" w:type="dxa"/>
                </w:tcPr>
                <w:p w14:paraId="402ED724"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三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】</w:t>
                  </w:r>
                </w:p>
                <w:p w14:paraId="5C550BE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请同学们思考并分析生活中的案例，分析它们的初始状态以及经过“非”运算转换后的结果，用真值表示，完成表2.3.4。</w:t>
                  </w:r>
                </w:p>
                <w:p w14:paraId="19881BC4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60" w:lineRule="auto"/>
                    <w:ind w:firstLine="0" w:firstLineChars="0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表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2.3.4“非”运算状态转换表</w:t>
                  </w:r>
                </w:p>
                <w:tbl>
                  <w:tblPr>
                    <w:tblStyle w:val="8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2420"/>
                    <w:gridCol w:w="705"/>
                    <w:gridCol w:w="1950"/>
                    <w:gridCol w:w="750"/>
                    <w:gridCol w:w="1771"/>
                    <w:gridCol w:w="963"/>
                  </w:tblGrid>
                  <w:tr w14:paraId="1758095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420" w:type="dxa"/>
                        <w:vAlign w:val="top"/>
                      </w:tcPr>
                      <w:p w14:paraId="6A8B211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情境或语句</w:t>
                        </w:r>
                      </w:p>
                    </w:tc>
                    <w:tc>
                      <w:tcPr>
                        <w:tcW w:w="705" w:type="dxa"/>
                        <w:vAlign w:val="top"/>
                      </w:tcPr>
                      <w:p w14:paraId="47CFA4D0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真值</w:t>
                        </w:r>
                      </w:p>
                    </w:tc>
                    <w:tc>
                      <w:tcPr>
                        <w:tcW w:w="1950" w:type="dxa"/>
                        <w:vAlign w:val="top"/>
                      </w:tcPr>
                      <w:p w14:paraId="4EAD5028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第一次取反</w:t>
                        </w:r>
                      </w:p>
                    </w:tc>
                    <w:tc>
                      <w:tcPr>
                        <w:tcW w:w="750" w:type="dxa"/>
                        <w:vAlign w:val="top"/>
                      </w:tcPr>
                      <w:p w14:paraId="0532599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真值</w:t>
                        </w:r>
                      </w:p>
                    </w:tc>
                    <w:tc>
                      <w:tcPr>
                        <w:tcW w:w="1771" w:type="dxa"/>
                        <w:vAlign w:val="top"/>
                      </w:tcPr>
                      <w:p w14:paraId="69D064E6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第二次取反</w:t>
                        </w:r>
                      </w:p>
                    </w:tc>
                    <w:tc>
                      <w:tcPr>
                        <w:tcW w:w="963" w:type="dxa"/>
                        <w:vAlign w:val="top"/>
                      </w:tcPr>
                      <w:p w14:paraId="58372433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真值</w:t>
                        </w:r>
                      </w:p>
                    </w:tc>
                  </w:tr>
                  <w:tr w14:paraId="0A2EE2E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420" w:type="dxa"/>
                        <w:vAlign w:val="top"/>
                      </w:tcPr>
                      <w:p w14:paraId="2B8042D5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人喜欢动画片</w:t>
                        </w:r>
                      </w:p>
                    </w:tc>
                    <w:tc>
                      <w:tcPr>
                        <w:tcW w:w="705" w:type="dxa"/>
                        <w:vAlign w:val="top"/>
                      </w:tcPr>
                      <w:p w14:paraId="35D1BAE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  <w:p w14:paraId="1DAE990F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1950" w:type="dxa"/>
                        <w:vAlign w:val="top"/>
                      </w:tcPr>
                      <w:p w14:paraId="7C0492E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人不喜欢动画片</w:t>
                        </w:r>
                      </w:p>
                    </w:tc>
                    <w:tc>
                      <w:tcPr>
                        <w:tcW w:w="750" w:type="dxa"/>
                        <w:vAlign w:val="top"/>
                      </w:tcPr>
                      <w:p w14:paraId="4E8DBDB3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  <w:p w14:paraId="7DC05C5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0</w:t>
                        </w:r>
                      </w:p>
                    </w:tc>
                    <w:tc>
                      <w:tcPr>
                        <w:tcW w:w="1771" w:type="dxa"/>
                        <w:vAlign w:val="top"/>
                      </w:tcPr>
                      <w:p w14:paraId="35135F42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没有人不喜欢动画片</w:t>
                        </w:r>
                      </w:p>
                    </w:tc>
                    <w:tc>
                      <w:tcPr>
                        <w:tcW w:w="963" w:type="dxa"/>
                        <w:vAlign w:val="top"/>
                      </w:tcPr>
                      <w:p w14:paraId="01D62AB8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  <w:p w14:paraId="78A4FC3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c>
                  </w:tr>
                  <w:tr w14:paraId="0FE09E9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420" w:type="dxa"/>
                        <w:vAlign w:val="top"/>
                      </w:tcPr>
                      <w:p w14:paraId="0DBFD25C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他的话不无道理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14:paraId="371337B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1950" w:type="dxa"/>
                        <w:vAlign w:val="center"/>
                      </w:tcPr>
                      <w:p w14:paraId="493AC820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他的话没有道理</w:t>
                        </w:r>
                      </w:p>
                    </w:tc>
                    <w:tc>
                      <w:tcPr>
                        <w:tcW w:w="750" w:type="dxa"/>
                        <w:vAlign w:val="center"/>
                      </w:tcPr>
                      <w:p w14:paraId="52A9B839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0</w:t>
                        </w:r>
                      </w:p>
                    </w:tc>
                    <w:tc>
                      <w:tcPr>
                        <w:tcW w:w="1771" w:type="dxa"/>
                        <w:vAlign w:val="center"/>
                      </w:tcPr>
                      <w:p w14:paraId="1E431D06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他的话不无道理</w:t>
                        </w:r>
                      </w:p>
                    </w:tc>
                    <w:tc>
                      <w:tcPr>
                        <w:tcW w:w="963" w:type="dxa"/>
                        <w:vAlign w:val="center"/>
                      </w:tcPr>
                      <w:p w14:paraId="1EA68ABF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c>
                  </w:tr>
                  <w:tr w14:paraId="218C8D2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420" w:type="dxa"/>
                        <w:vAlign w:val="top"/>
                      </w:tcPr>
                      <w:p w14:paraId="63AB2FDF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这件事你非做好不可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14:paraId="651BC23D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1950" w:type="dxa"/>
                        <w:vAlign w:val="center"/>
                      </w:tcPr>
                      <w:p w14:paraId="06C94BE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这件事你不用做好</w:t>
                        </w:r>
                      </w:p>
                    </w:tc>
                    <w:tc>
                      <w:tcPr>
                        <w:tcW w:w="750" w:type="dxa"/>
                        <w:vAlign w:val="center"/>
                      </w:tcPr>
                      <w:p w14:paraId="4E324968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0</w:t>
                        </w:r>
                      </w:p>
                    </w:tc>
                    <w:tc>
                      <w:tcPr>
                        <w:tcW w:w="1771" w:type="dxa"/>
                        <w:vAlign w:val="center"/>
                      </w:tcPr>
                      <w:p w14:paraId="6102844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这件事你非做好不可</w:t>
                        </w:r>
                      </w:p>
                    </w:tc>
                    <w:tc>
                      <w:tcPr>
                        <w:tcW w:w="963" w:type="dxa"/>
                        <w:vAlign w:val="center"/>
                      </w:tcPr>
                      <w:p w14:paraId="13A4AE7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c>
                  </w:tr>
                  <w:tr w14:paraId="27307BC1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2420" w:type="dxa"/>
                        <w:vAlign w:val="center"/>
                      </w:tcPr>
                      <w:p w14:paraId="55824E34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没有人不喜欢动画片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14:paraId="7F94EB02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c>
                    <w:tc>
                      <w:tcPr>
                        <w:tcW w:w="1950" w:type="dxa"/>
                        <w:vAlign w:val="center"/>
                      </w:tcPr>
                      <w:p w14:paraId="196C1FDD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有人不喜欢动画片</w:t>
                        </w:r>
                      </w:p>
                    </w:tc>
                    <w:tc>
                      <w:tcPr>
                        <w:tcW w:w="750" w:type="dxa"/>
                        <w:vAlign w:val="center"/>
                      </w:tcPr>
                      <w:p w14:paraId="34AF9D3E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0</w:t>
                        </w:r>
                      </w:p>
                    </w:tc>
                    <w:tc>
                      <w:tcPr>
                        <w:tcW w:w="1771" w:type="dxa"/>
                        <w:vAlign w:val="center"/>
                      </w:tcPr>
                      <w:p w14:paraId="6CCDF98E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没有人不喜欢动画片</w:t>
                        </w:r>
                      </w:p>
                    </w:tc>
                    <w:tc>
                      <w:tcPr>
                        <w:tcW w:w="963" w:type="dxa"/>
                        <w:vAlign w:val="center"/>
                      </w:tcPr>
                      <w:p w14:paraId="79AFF0BF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auto"/>
                            <w:sz w:val="24"/>
                            <w:szCs w:val="24"/>
                            <w:lang w:val="en-US" w:eastAsia="zh-CN"/>
                          </w:rPr>
                          <w:t>1</w:t>
                        </w:r>
                      </w:p>
                    </w:tc>
                  </w:tr>
                </w:tbl>
                <w:p w14:paraId="233808F6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</w:tbl>
          <w:p w14:paraId="056ED370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引导学生认真听讲，理解“非”运算的定义和规则。能结合例子进一步掌握“非”运算的应用。思考生活案例，填写“非”运算状态转换表，小组代表分享分析结果。</w:t>
            </w:r>
          </w:p>
          <w:p w14:paraId="6D615D3D">
            <w:pPr>
              <w:widowControl w:val="0"/>
              <w:numPr>
                <w:ilvl w:val="0"/>
                <w:numId w:val="3"/>
              </w:numPr>
              <w:spacing w:line="360" w:lineRule="auto"/>
              <w:ind w:left="480" w:leftChars="0" w:firstLine="0" w:firstLineChars="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“非”运算的应用</w:t>
            </w:r>
          </w:p>
          <w:p w14:paraId="1A89677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以时间控制的路灯系统为例，讲解如何利用“非”运算简化逻辑表达，展示程序（图2.3.3）。</w:t>
            </w:r>
          </w:p>
          <w:p w14:paraId="4E412E61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drawing>
                <wp:inline distT="0" distB="0" distL="0" distR="0">
                  <wp:extent cx="3470910" cy="420370"/>
                  <wp:effectExtent l="0" t="0" r="3810" b="6350"/>
                  <wp:docPr id="1038" name="IM 10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IM 103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1014" cy="420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42F7CD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 2.3.3    以“非”运算描述夜间的指令语句</w:t>
            </w:r>
          </w:p>
          <w:p w14:paraId="509AE23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2.布置【课堂任务四】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"/>
              </w:rPr>
              <w:t>（教材P58探索）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，让学生尝试运用“非”运算的概念编写一个以声音和时间共同控制的小区照明灯程序，并在方框内写出程序。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28"/>
            </w:tblGrid>
            <w:tr w14:paraId="13DCFC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38" w:type="dxa"/>
                </w:tcPr>
                <w:p w14:paraId="4CA15BA4"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【课堂任务四】</w:t>
                  </w:r>
                </w:p>
                <w:p w14:paraId="54BFC008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0"/>
                    <w:jc w:val="center"/>
                    <w:textAlignment w:val="auto"/>
                    <w:rPr>
                      <w:rFonts w:hint="eastAsia" w:ascii="仿宋" w:hAnsi="仿宋" w:eastAsia="仿宋" w:cs="仿宋"/>
                      <w:color w:val="auto"/>
                      <w:sz w:val="28"/>
                      <w:szCs w:val="28"/>
                      <w:vertAlign w:val="baseline"/>
                      <w:lang w:val="en-US" w:eastAsia="zh"/>
                    </w:rPr>
                  </w:pPr>
                  <w:r>
                    <w:rPr>
                      <w:rFonts w:hint="eastAsia" w:ascii="仿宋" w:hAnsi="仿宋" w:eastAsia="仿宋" w:cs="仿宋"/>
                      <w:color w:val="auto"/>
                      <w:sz w:val="28"/>
                      <w:szCs w:val="28"/>
                      <w:vertAlign w:val="baseline"/>
                      <w:lang w:val="en-US" w:eastAsia="zh"/>
                    </w:rPr>
                    <w:drawing>
                      <wp:inline distT="0" distB="0" distL="114300" distR="114300">
                        <wp:extent cx="4549140" cy="2429510"/>
                        <wp:effectExtent l="0" t="0" r="7620" b="8890"/>
                        <wp:docPr id="31" name="图片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图片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49140" cy="24295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5141B40"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图：声光联动智能照明控制程序</w:t>
                  </w:r>
                </w:p>
              </w:tc>
            </w:tr>
          </w:tbl>
          <w:p w14:paraId="5ACCCD9E"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引导学生认真听讲，理解“非”运算在路灯系统中的应用。独立思考，编写以声音和时间共同控制的小区照明灯程序。</w:t>
            </w:r>
          </w:p>
          <w:p w14:paraId="08B3FD8D"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DD78EB4">
            <w:pPr>
              <w:widowControl w:val="0"/>
              <w:numPr>
                <w:ilvl w:val="0"/>
                <w:numId w:val="3"/>
              </w:numPr>
              <w:spacing w:line="360" w:lineRule="auto"/>
              <w:ind w:left="480" w:leftChars="0" w:firstLine="0" w:firstLineChars="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逻辑运算综合应用</w:t>
            </w:r>
          </w:p>
          <w:p w14:paraId="1FD82126">
            <w:pPr>
              <w:numPr>
                <w:ilvl w:val="0"/>
                <w:numId w:val="4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介绍声光控技术的应用，展示声光控节能灯打开的规律和算法流程图（图2.3.4）。</w:t>
            </w:r>
          </w:p>
          <w:p w14:paraId="6BB7D38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3714750" cy="3357880"/>
                  <wp:effectExtent l="0" t="0" r="3810" b="1016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0" cy="335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E62E53">
            <w:pPr>
              <w:spacing w:before="76" w:line="235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 2.3.4    声光控节能灯的算法流程图</w:t>
            </w:r>
          </w:p>
          <w:p w14:paraId="4AB90333">
            <w:pPr>
              <w:numPr>
                <w:ilvl w:val="0"/>
                <w:numId w:val="4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讲解实现声光控灯需要用到的“与”运算和“非”运算，展示示例程序（图2.3.5）。</w:t>
            </w:r>
          </w:p>
          <w:p w14:paraId="0C7A3D40">
            <w:pPr>
              <w:widowControl w:val="0"/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5238750" cy="2571750"/>
                  <wp:effectExtent l="0" t="0" r="3810" b="381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0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22A0C3">
            <w:pPr>
              <w:spacing w:before="76" w:line="235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 2.3.5    声光控灯的示例程序</w:t>
            </w:r>
          </w:p>
          <w:p w14:paraId="5DC87CED">
            <w:pPr>
              <w:numPr>
                <w:ilvl w:val="0"/>
                <w:numId w:val="4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探索：布置【课堂任务五】，引导学生将程序上传主控板，测试不同音量、不同环境亮度下灯打开和关闭的情况，分析问题并提出改进方案。</w:t>
            </w:r>
          </w:p>
          <w:p w14:paraId="6865DD2C">
            <w:pPr>
              <w:widowControl w:val="0"/>
              <w:numPr>
                <w:numId w:val="0"/>
              </w:numPr>
              <w:tabs>
                <w:tab w:val="left" w:pos="312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5F2C242">
            <w:pPr>
              <w:widowControl w:val="0"/>
              <w:numPr>
                <w:numId w:val="0"/>
              </w:numPr>
              <w:tabs>
                <w:tab w:val="left" w:pos="312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3599046">
            <w:pPr>
              <w:widowControl w:val="0"/>
              <w:numPr>
                <w:numId w:val="0"/>
              </w:numPr>
              <w:tabs>
                <w:tab w:val="left" w:pos="312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11E3532">
            <w:pPr>
              <w:widowControl w:val="0"/>
              <w:numPr>
                <w:numId w:val="0"/>
              </w:numPr>
              <w:tabs>
                <w:tab w:val="left" w:pos="312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F102B5B">
            <w:pPr>
              <w:widowControl w:val="0"/>
              <w:numPr>
                <w:numId w:val="0"/>
              </w:numPr>
              <w:tabs>
                <w:tab w:val="left" w:pos="312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1EE2C4D">
            <w:pPr>
              <w:widowControl w:val="0"/>
              <w:numPr>
                <w:numId w:val="0"/>
              </w:numPr>
              <w:tabs>
                <w:tab w:val="left" w:pos="312"/>
              </w:tabs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5" w:name="_GoBack"/>
            <w:bookmarkEnd w:id="5"/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28"/>
            </w:tblGrid>
            <w:tr w14:paraId="5B9A8AF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638" w:type="dxa"/>
                </w:tcPr>
                <w:p w14:paraId="66E51EEA"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【课堂任务五】</w:t>
                  </w:r>
                </w:p>
                <w:p w14:paraId="0180F22D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在编程软件的仿真环境下，你是否能模拟声音、光线的变化来验证程序执行的效果（见图2.3.6）。</w:t>
                  </w:r>
                </w:p>
                <w:p w14:paraId="1BCF37C1">
                  <w:pPr>
                    <w:pStyle w:val="3"/>
                    <w:spacing w:line="285" w:lineRule="auto"/>
                    <w:ind w:left="1200" w:hanging="1200" w:hangingChars="5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drawing>
                      <wp:inline distT="0" distB="0" distL="114300" distR="114300">
                        <wp:extent cx="1450340" cy="1127760"/>
                        <wp:effectExtent l="0" t="0" r="12700" b="0"/>
                        <wp:docPr id="29" name="图片 13" descr="图片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9" name="图片 13" descr="图片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340" cy="11277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drawing>
                      <wp:inline distT="0" distB="0" distL="114300" distR="114300">
                        <wp:extent cx="1524635" cy="1176020"/>
                        <wp:effectExtent l="0" t="0" r="14605" b="12700"/>
                        <wp:docPr id="33" name="图片 14" descr="图片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图片 14" descr="图片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4635" cy="1176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图2.3.6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实现声光控制灯效果</w:t>
                  </w:r>
                </w:p>
                <w:p w14:paraId="25C09222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0"/>
                    <w:jc w:val="left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将程序上传主控板，测试不同音量、不同环境亮度下灯打开和关闭的情况，你发现有哪些问题，可以如何改进？</w:t>
                  </w:r>
                </w:p>
                <w:p w14:paraId="649FF5F7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表：智能声光控灯常见问题及改进方法</w:t>
                  </w:r>
                </w:p>
                <w:tbl>
                  <w:tblPr>
                    <w:tblStyle w:val="8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4693"/>
                    <w:gridCol w:w="4709"/>
                  </w:tblGrid>
                  <w:tr w14:paraId="7FECC4C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4981" w:type="dxa"/>
                      </w:tcPr>
                      <w:p w14:paraId="5CC005CD">
                        <w:pPr>
                          <w:keepNext w:val="0"/>
                          <w:keepLines w:val="0"/>
                          <w:pageBreakBefore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left"/>
                          <w:textAlignment w:val="auto"/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可能发现的问题</w:t>
                        </w:r>
                      </w:p>
                    </w:tc>
                    <w:tc>
                      <w:tcPr>
                        <w:tcW w:w="4981" w:type="dxa"/>
                      </w:tcPr>
                      <w:p w14:paraId="484D9CEF">
                        <w:pPr>
                          <w:keepNext w:val="0"/>
                          <w:keepLines w:val="0"/>
                          <w:pageBreakBefore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left"/>
                          <w:textAlignment w:val="auto"/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改进方法</w:t>
                        </w:r>
                      </w:p>
                    </w:tc>
                  </w:tr>
                  <w:tr w14:paraId="3C02B926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4981" w:type="dxa"/>
                      </w:tcPr>
                      <w:p w14:paraId="3D7FF843">
                        <w:pPr>
                          <w:keepNext w:val="0"/>
                          <w:keepLines w:val="0"/>
                          <w:pageBreakBefore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left"/>
                          <w:textAlignment w:val="auto"/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误触发问题：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当环境中存在一些轻微的背景噪音或者光线的微小波动时，灯可能会出现不必要的打开或关闭情况。</w:t>
                        </w:r>
                      </w:p>
                    </w:tc>
                    <w:tc>
                      <w:tcPr>
                        <w:tcW w:w="4981" w:type="dxa"/>
                      </w:tcPr>
                      <w:p w14:paraId="3FC95AB1">
                        <w:pPr>
                          <w:keepNext w:val="0"/>
                          <w:keepLines w:val="0"/>
                          <w:pageBreakBefore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left"/>
                          <w:textAlignment w:val="auto"/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可以在程序中设置阈值。</w:t>
                        </w:r>
                      </w:p>
                    </w:tc>
                  </w:tr>
                  <w:tr w14:paraId="2C668FB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4981" w:type="dxa"/>
                      </w:tcPr>
                      <w:p w14:paraId="483C8BFF">
                        <w:pPr>
                          <w:keepNext w:val="0"/>
                          <w:keepLines w:val="0"/>
                          <w:pageBreakBefore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left"/>
                          <w:textAlignment w:val="auto"/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数值不稳定问题：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传感器因灵敏度过高导致信号频繁波动，可能间接影响响应表现。</w:t>
                        </w:r>
                      </w:p>
                    </w:tc>
                    <w:tc>
                      <w:tcPr>
                        <w:tcW w:w="4981" w:type="dxa"/>
                      </w:tcPr>
                      <w:p w14:paraId="7CA1F3CE">
                        <w:pPr>
                          <w:keepNext w:val="0"/>
                          <w:keepLines w:val="0"/>
                          <w:pageBreakBefore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left"/>
                          <w:textAlignment w:val="auto"/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优化程序算法，如加入延时去抖或调整判断逻辑，避免误触发。</w:t>
                        </w:r>
                      </w:p>
                    </w:tc>
                  </w:tr>
                  <w:tr w14:paraId="1390759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4981" w:type="dxa"/>
                      </w:tcPr>
                      <w:p w14:paraId="55F415AF">
                        <w:pPr>
                          <w:keepNext w:val="0"/>
                          <w:keepLines w:val="0"/>
                          <w:pageBreakBefore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left"/>
                          <w:textAlignment w:val="auto"/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响应延迟问题：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因信号波动导致程序需多次确认状态，反而显得响应滞后。</w:t>
                        </w:r>
                      </w:p>
                    </w:tc>
                    <w:tc>
                      <w:tcPr>
                        <w:tcW w:w="4981" w:type="dxa"/>
                      </w:tcPr>
                      <w:p w14:paraId="7B9D67AD">
                        <w:pPr>
                          <w:keepNext w:val="0"/>
                          <w:keepLines w:val="0"/>
                          <w:pageBreakBefore w:val="0"/>
                          <w:suppressLineNumbers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before="0" w:beforeAutospacing="0" w:after="0" w:afterAutospacing="0" w:line="360" w:lineRule="auto"/>
                          <w:ind w:left="0" w:right="0"/>
                          <w:jc w:val="left"/>
                          <w:textAlignment w:val="auto"/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减少冗余判断步骤，或设定动态响应阈值（如连续多次检测到变化才触发）。</w:t>
                        </w:r>
                      </w:p>
                    </w:tc>
                  </w:tr>
                </w:tbl>
                <w:p w14:paraId="29506E03">
                  <w:pPr>
                    <w:numPr>
                      <w:ilvl w:val="0"/>
                      <w:numId w:val="0"/>
                    </w:num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52513107">
            <w:pPr>
              <w:pStyle w:val="3"/>
              <w:spacing w:line="285" w:lineRule="auto"/>
              <w:ind w:left="1199" w:leftChars="228" w:hanging="720" w:hangingChars="3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学生上传程序到主控板，测试并分析实验数据，小组讨论提出改进方案。</w:t>
            </w:r>
          </w:p>
          <w:p w14:paraId="783446E1">
            <w:pPr>
              <w:widowControl w:val="0"/>
              <w:numPr>
                <w:ilvl w:val="0"/>
                <w:numId w:val="3"/>
              </w:numPr>
              <w:spacing w:line="360" w:lineRule="auto"/>
              <w:ind w:left="480" w:leftChars="0" w:firstLine="0" w:firstLineChars="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课后小结</w:t>
            </w:r>
          </w:p>
          <w:p w14:paraId="5413C0E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（一）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回顾本节课所学内容</w:t>
            </w:r>
          </w:p>
          <w:p w14:paraId="2CA4764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布置课后作业</w:t>
            </w:r>
          </w:p>
          <w:p w14:paraId="3782DCE6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对照编程软件，观察主控板，上面还有哪些部分可实现输入功能？请根据实验条件，设计一个情境，利用不同的输入设备，经过“与”运算、“或”运算、“非”运算共同控制灯的亮灭效果。</w:t>
            </w:r>
          </w:p>
          <w:p w14:paraId="51B940FC">
            <w:pPr>
              <w:spacing w:line="360" w:lineRule="auto"/>
              <w:ind w:firstLine="420" w:firstLineChars="200"/>
              <w:jc w:val="center"/>
            </w:pPr>
            <w:r>
              <w:drawing>
                <wp:inline distT="0" distB="0" distL="114300" distR="114300">
                  <wp:extent cx="3772535" cy="1534160"/>
                  <wp:effectExtent l="0" t="0" r="6985" b="5080"/>
                  <wp:docPr id="3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2535" cy="153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11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jc w:val="center"/>
              <w:textAlignment w:val="auto"/>
              <w:outlineLvl w:val="2"/>
              <w:rPr>
                <w:rFonts w:hint="eastAsia" w:ascii="宋体" w:hAnsi="宋体" w:cs="宋体"/>
                <w:szCs w:val="21"/>
              </w:rPr>
            </w:pPr>
            <w:bookmarkStart w:id="4" w:name="_Toc13729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图：基于时间与光线传感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的RGB灯智能控制程序</w:t>
            </w:r>
            <w:bookmarkEnd w:id="4"/>
          </w:p>
        </w:tc>
      </w:tr>
      <w:bookmarkEnd w:id="0"/>
    </w:tbl>
    <w:p w14:paraId="3FC39D6A">
      <w:pPr>
        <w:rPr>
          <w:rFonts w:hint="eastAsia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ntyZHAO 新蒂赵孟頫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0BCF0">
    <w:pPr>
      <w:pStyle w:val="4"/>
      <w:ind w:firstLine="482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7FAA6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E7FAA6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21A97">
    <w:pPr>
      <w:pStyle w:val="4"/>
      <w:ind w:firstLine="5301" w:firstLineChars="2200"/>
    </w:pPr>
    <w:r>
      <w:rPr>
        <w:rFonts w:hint="eastAsia" w:ascii="SentyZHAO 新蒂赵孟頫" w:hAnsi="SentyZHAO 新蒂赵孟頫" w:eastAsia="SentyZHAO 新蒂赵孟頫" w:cs="SentyZHAO 新蒂赵孟頫"/>
        <w:b/>
        <w:bCs/>
        <w:color w:val="0094C4"/>
        <w:sz w:val="24"/>
        <w:szCs w:val="4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EA5BC"/>
    <w:multiLevelType w:val="singleLevel"/>
    <w:tmpl w:val="B50EA5B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068C0E"/>
    <w:multiLevelType w:val="singleLevel"/>
    <w:tmpl w:val="24068C0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B28801F"/>
    <w:multiLevelType w:val="singleLevel"/>
    <w:tmpl w:val="4B2880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0C774A9"/>
    <w:multiLevelType w:val="singleLevel"/>
    <w:tmpl w:val="70C774A9"/>
    <w:lvl w:ilvl="0" w:tentative="0">
      <w:start w:val="4"/>
      <w:numFmt w:val="chineseCounting"/>
      <w:suff w:val="nothing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GQyOWZlNTQ2N2FkNGQ1N2E3ZDM3ZDYyZTBjNDcifQ=="/>
  </w:docVars>
  <w:rsids>
    <w:rsidRoot w:val="00172A27"/>
    <w:rsid w:val="000675B7"/>
    <w:rsid w:val="00067E8B"/>
    <w:rsid w:val="000A3627"/>
    <w:rsid w:val="000B4EC7"/>
    <w:rsid w:val="00136366"/>
    <w:rsid w:val="00172A27"/>
    <w:rsid w:val="001746C4"/>
    <w:rsid w:val="001C1D23"/>
    <w:rsid w:val="002507E0"/>
    <w:rsid w:val="00285AEF"/>
    <w:rsid w:val="0028606D"/>
    <w:rsid w:val="002A0B06"/>
    <w:rsid w:val="003A471A"/>
    <w:rsid w:val="003D1B2C"/>
    <w:rsid w:val="004929EC"/>
    <w:rsid w:val="004D060F"/>
    <w:rsid w:val="004E0863"/>
    <w:rsid w:val="00555D24"/>
    <w:rsid w:val="005600CD"/>
    <w:rsid w:val="005C6B7D"/>
    <w:rsid w:val="00681222"/>
    <w:rsid w:val="00695DCC"/>
    <w:rsid w:val="006B0B20"/>
    <w:rsid w:val="006C6E21"/>
    <w:rsid w:val="00733E26"/>
    <w:rsid w:val="00734CC1"/>
    <w:rsid w:val="0078768E"/>
    <w:rsid w:val="00815AF3"/>
    <w:rsid w:val="00826DB7"/>
    <w:rsid w:val="008C39A7"/>
    <w:rsid w:val="00985D1C"/>
    <w:rsid w:val="00992AA5"/>
    <w:rsid w:val="009A470A"/>
    <w:rsid w:val="00B9032A"/>
    <w:rsid w:val="00BB1529"/>
    <w:rsid w:val="00BB1A14"/>
    <w:rsid w:val="00CE5DD8"/>
    <w:rsid w:val="00CF7C99"/>
    <w:rsid w:val="00D044E4"/>
    <w:rsid w:val="00D107E8"/>
    <w:rsid w:val="00D13C67"/>
    <w:rsid w:val="00D7184C"/>
    <w:rsid w:val="00D92F11"/>
    <w:rsid w:val="00D93ABC"/>
    <w:rsid w:val="00D973D5"/>
    <w:rsid w:val="00EA5258"/>
    <w:rsid w:val="00EB12F5"/>
    <w:rsid w:val="00F053D4"/>
    <w:rsid w:val="00F44C9A"/>
    <w:rsid w:val="00F626D0"/>
    <w:rsid w:val="012071E5"/>
    <w:rsid w:val="014F30DB"/>
    <w:rsid w:val="01A7647D"/>
    <w:rsid w:val="01E639BD"/>
    <w:rsid w:val="01F24E47"/>
    <w:rsid w:val="0200793B"/>
    <w:rsid w:val="024E3739"/>
    <w:rsid w:val="026C4626"/>
    <w:rsid w:val="027311B4"/>
    <w:rsid w:val="0284231A"/>
    <w:rsid w:val="02AE622E"/>
    <w:rsid w:val="02C72FA8"/>
    <w:rsid w:val="033E2F09"/>
    <w:rsid w:val="03590B77"/>
    <w:rsid w:val="03D95E74"/>
    <w:rsid w:val="04074FB1"/>
    <w:rsid w:val="041F679F"/>
    <w:rsid w:val="0424637D"/>
    <w:rsid w:val="0462668B"/>
    <w:rsid w:val="04B367F6"/>
    <w:rsid w:val="05431AC5"/>
    <w:rsid w:val="05663F59"/>
    <w:rsid w:val="0606681E"/>
    <w:rsid w:val="0690419C"/>
    <w:rsid w:val="069074E0"/>
    <w:rsid w:val="070774B1"/>
    <w:rsid w:val="07100621"/>
    <w:rsid w:val="07155C37"/>
    <w:rsid w:val="074327A4"/>
    <w:rsid w:val="074F1149"/>
    <w:rsid w:val="076F17EB"/>
    <w:rsid w:val="07886409"/>
    <w:rsid w:val="079F1899"/>
    <w:rsid w:val="07EA0E72"/>
    <w:rsid w:val="07FC11FE"/>
    <w:rsid w:val="083A6560"/>
    <w:rsid w:val="08600BC6"/>
    <w:rsid w:val="087B34DB"/>
    <w:rsid w:val="089808CE"/>
    <w:rsid w:val="08E07AE9"/>
    <w:rsid w:val="08F275B4"/>
    <w:rsid w:val="095A16B5"/>
    <w:rsid w:val="09906FB0"/>
    <w:rsid w:val="09D27E0F"/>
    <w:rsid w:val="0A326B00"/>
    <w:rsid w:val="0A454008"/>
    <w:rsid w:val="0A645B7B"/>
    <w:rsid w:val="0ADD081A"/>
    <w:rsid w:val="0B462176"/>
    <w:rsid w:val="0B7F3FC7"/>
    <w:rsid w:val="0BBB43F7"/>
    <w:rsid w:val="0BC402F7"/>
    <w:rsid w:val="0C1E733C"/>
    <w:rsid w:val="0C6236CC"/>
    <w:rsid w:val="0C7F3F69"/>
    <w:rsid w:val="0CEE4F60"/>
    <w:rsid w:val="0DB717F6"/>
    <w:rsid w:val="0DE50E35"/>
    <w:rsid w:val="0E035A17"/>
    <w:rsid w:val="0EA235C5"/>
    <w:rsid w:val="0EAC50D3"/>
    <w:rsid w:val="0EAE24FC"/>
    <w:rsid w:val="0EB12455"/>
    <w:rsid w:val="0EB2020F"/>
    <w:rsid w:val="0F004228"/>
    <w:rsid w:val="0F0B7CEB"/>
    <w:rsid w:val="0F6E0AC3"/>
    <w:rsid w:val="0FAE099F"/>
    <w:rsid w:val="0FF35C57"/>
    <w:rsid w:val="10195214"/>
    <w:rsid w:val="103155B7"/>
    <w:rsid w:val="10EA0134"/>
    <w:rsid w:val="11592BC4"/>
    <w:rsid w:val="115D7A30"/>
    <w:rsid w:val="117D6D67"/>
    <w:rsid w:val="11915B2A"/>
    <w:rsid w:val="11CB3AC2"/>
    <w:rsid w:val="11EA6840"/>
    <w:rsid w:val="12105979"/>
    <w:rsid w:val="121C60CC"/>
    <w:rsid w:val="125C0A6D"/>
    <w:rsid w:val="12600E2E"/>
    <w:rsid w:val="128A6EDF"/>
    <w:rsid w:val="12A85AEE"/>
    <w:rsid w:val="136F3FAF"/>
    <w:rsid w:val="13FF37F9"/>
    <w:rsid w:val="141B5045"/>
    <w:rsid w:val="141C0605"/>
    <w:rsid w:val="144C474B"/>
    <w:rsid w:val="145204CA"/>
    <w:rsid w:val="147B0A4C"/>
    <w:rsid w:val="14CF38C9"/>
    <w:rsid w:val="14F46C8E"/>
    <w:rsid w:val="1525265A"/>
    <w:rsid w:val="168E3FD0"/>
    <w:rsid w:val="16F62850"/>
    <w:rsid w:val="170E3F5B"/>
    <w:rsid w:val="170F61FF"/>
    <w:rsid w:val="172B7D93"/>
    <w:rsid w:val="175C51BC"/>
    <w:rsid w:val="17870ECB"/>
    <w:rsid w:val="17951EBF"/>
    <w:rsid w:val="179B6E47"/>
    <w:rsid w:val="17E23EC4"/>
    <w:rsid w:val="183103F7"/>
    <w:rsid w:val="187B37DA"/>
    <w:rsid w:val="187D5999"/>
    <w:rsid w:val="18AA14DA"/>
    <w:rsid w:val="193E2DCB"/>
    <w:rsid w:val="19AF7825"/>
    <w:rsid w:val="19C66BC2"/>
    <w:rsid w:val="1A180BC5"/>
    <w:rsid w:val="1A1D6E85"/>
    <w:rsid w:val="1A322A84"/>
    <w:rsid w:val="1A7C7F4E"/>
    <w:rsid w:val="1AA475E6"/>
    <w:rsid w:val="1AC819CB"/>
    <w:rsid w:val="1ADC6D40"/>
    <w:rsid w:val="1B4548E5"/>
    <w:rsid w:val="1BB93363"/>
    <w:rsid w:val="1BD73063"/>
    <w:rsid w:val="1C0146F9"/>
    <w:rsid w:val="1C22180A"/>
    <w:rsid w:val="1C24137C"/>
    <w:rsid w:val="1C2E5F55"/>
    <w:rsid w:val="1CD12A04"/>
    <w:rsid w:val="1CE41EDC"/>
    <w:rsid w:val="1D1D2A80"/>
    <w:rsid w:val="1D232A04"/>
    <w:rsid w:val="1D3B7F60"/>
    <w:rsid w:val="1D410EAA"/>
    <w:rsid w:val="1D84115C"/>
    <w:rsid w:val="1E032835"/>
    <w:rsid w:val="1E205C1D"/>
    <w:rsid w:val="1E5259AF"/>
    <w:rsid w:val="1E63180A"/>
    <w:rsid w:val="1E6908EA"/>
    <w:rsid w:val="1E9021F1"/>
    <w:rsid w:val="1EA2191F"/>
    <w:rsid w:val="1EDC0404"/>
    <w:rsid w:val="1EE066D3"/>
    <w:rsid w:val="1EFD3583"/>
    <w:rsid w:val="1F0C1276"/>
    <w:rsid w:val="1F520AA7"/>
    <w:rsid w:val="1FFC6EFB"/>
    <w:rsid w:val="201009A4"/>
    <w:rsid w:val="203E66A2"/>
    <w:rsid w:val="2072468E"/>
    <w:rsid w:val="207A2D48"/>
    <w:rsid w:val="20DE6C42"/>
    <w:rsid w:val="20E00919"/>
    <w:rsid w:val="20E73C90"/>
    <w:rsid w:val="210E5779"/>
    <w:rsid w:val="215313DE"/>
    <w:rsid w:val="21627873"/>
    <w:rsid w:val="21C83B79"/>
    <w:rsid w:val="21EE11B1"/>
    <w:rsid w:val="21FE02AF"/>
    <w:rsid w:val="221548E5"/>
    <w:rsid w:val="226C2065"/>
    <w:rsid w:val="2288784E"/>
    <w:rsid w:val="22A55C69"/>
    <w:rsid w:val="22C759AB"/>
    <w:rsid w:val="22CC58EC"/>
    <w:rsid w:val="22D62C79"/>
    <w:rsid w:val="2320343E"/>
    <w:rsid w:val="23812232"/>
    <w:rsid w:val="238E0DF3"/>
    <w:rsid w:val="23C460CE"/>
    <w:rsid w:val="23CE1A7B"/>
    <w:rsid w:val="23D246D0"/>
    <w:rsid w:val="23D80D39"/>
    <w:rsid w:val="23EC412D"/>
    <w:rsid w:val="24160983"/>
    <w:rsid w:val="24C04FDC"/>
    <w:rsid w:val="24CE1554"/>
    <w:rsid w:val="24DC61B1"/>
    <w:rsid w:val="25C15BE4"/>
    <w:rsid w:val="26465AA0"/>
    <w:rsid w:val="2647756E"/>
    <w:rsid w:val="26716BB6"/>
    <w:rsid w:val="26932C11"/>
    <w:rsid w:val="269E30FB"/>
    <w:rsid w:val="26D97172"/>
    <w:rsid w:val="270F7B55"/>
    <w:rsid w:val="273735BA"/>
    <w:rsid w:val="273E5FC1"/>
    <w:rsid w:val="28464F21"/>
    <w:rsid w:val="284D4DD9"/>
    <w:rsid w:val="28786E08"/>
    <w:rsid w:val="28B9246E"/>
    <w:rsid w:val="28E514B5"/>
    <w:rsid w:val="292C58F8"/>
    <w:rsid w:val="293164A9"/>
    <w:rsid w:val="294206B6"/>
    <w:rsid w:val="296B53EE"/>
    <w:rsid w:val="298911A4"/>
    <w:rsid w:val="29BF1D06"/>
    <w:rsid w:val="2A543139"/>
    <w:rsid w:val="2AAF230D"/>
    <w:rsid w:val="2AB33B12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518C4"/>
    <w:rsid w:val="2C537B69"/>
    <w:rsid w:val="2C6E5E3A"/>
    <w:rsid w:val="2C865992"/>
    <w:rsid w:val="2CB847EB"/>
    <w:rsid w:val="2CFF6718"/>
    <w:rsid w:val="2D482013"/>
    <w:rsid w:val="2D630BFB"/>
    <w:rsid w:val="2D8154CD"/>
    <w:rsid w:val="2D8F19F0"/>
    <w:rsid w:val="2DB664B0"/>
    <w:rsid w:val="2DCF6290"/>
    <w:rsid w:val="2DD438A6"/>
    <w:rsid w:val="2E1D6FFC"/>
    <w:rsid w:val="2E432FE6"/>
    <w:rsid w:val="2E494294"/>
    <w:rsid w:val="2E532A1D"/>
    <w:rsid w:val="2E652D42"/>
    <w:rsid w:val="2E6E5AA9"/>
    <w:rsid w:val="2E762724"/>
    <w:rsid w:val="2ECC2921"/>
    <w:rsid w:val="2F4B1ED6"/>
    <w:rsid w:val="2F4D7DE6"/>
    <w:rsid w:val="2F5729E1"/>
    <w:rsid w:val="2FB7522E"/>
    <w:rsid w:val="30085A89"/>
    <w:rsid w:val="301E7E1A"/>
    <w:rsid w:val="30240A03"/>
    <w:rsid w:val="3037780B"/>
    <w:rsid w:val="306F61F6"/>
    <w:rsid w:val="30DA5678"/>
    <w:rsid w:val="314153ED"/>
    <w:rsid w:val="315216B2"/>
    <w:rsid w:val="317258B0"/>
    <w:rsid w:val="318B6972"/>
    <w:rsid w:val="31975317"/>
    <w:rsid w:val="319E109F"/>
    <w:rsid w:val="31A1502C"/>
    <w:rsid w:val="31A71F19"/>
    <w:rsid w:val="31AA329C"/>
    <w:rsid w:val="31CC3212"/>
    <w:rsid w:val="31D42016"/>
    <w:rsid w:val="327908ED"/>
    <w:rsid w:val="333C6176"/>
    <w:rsid w:val="333E5824"/>
    <w:rsid w:val="334202F3"/>
    <w:rsid w:val="33B834BA"/>
    <w:rsid w:val="33CC25A8"/>
    <w:rsid w:val="34087E66"/>
    <w:rsid w:val="3422222F"/>
    <w:rsid w:val="34483B70"/>
    <w:rsid w:val="34635BE4"/>
    <w:rsid w:val="34755A99"/>
    <w:rsid w:val="34DD1923"/>
    <w:rsid w:val="34E645EB"/>
    <w:rsid w:val="35B2271F"/>
    <w:rsid w:val="3615180B"/>
    <w:rsid w:val="362A316D"/>
    <w:rsid w:val="36605639"/>
    <w:rsid w:val="368816D2"/>
    <w:rsid w:val="369E7508"/>
    <w:rsid w:val="36A00E93"/>
    <w:rsid w:val="36B80C3B"/>
    <w:rsid w:val="36F526D9"/>
    <w:rsid w:val="370C5E5F"/>
    <w:rsid w:val="370E607B"/>
    <w:rsid w:val="374C0952"/>
    <w:rsid w:val="377B64DC"/>
    <w:rsid w:val="37983B97"/>
    <w:rsid w:val="383B5237"/>
    <w:rsid w:val="384F7C6E"/>
    <w:rsid w:val="38755FB3"/>
    <w:rsid w:val="389820A0"/>
    <w:rsid w:val="38BC6E99"/>
    <w:rsid w:val="38D94D40"/>
    <w:rsid w:val="38DB1F8D"/>
    <w:rsid w:val="39122F89"/>
    <w:rsid w:val="39626A70"/>
    <w:rsid w:val="3986639D"/>
    <w:rsid w:val="399F1246"/>
    <w:rsid w:val="39E83452"/>
    <w:rsid w:val="39F21F12"/>
    <w:rsid w:val="3A1C7480"/>
    <w:rsid w:val="3A3C7179"/>
    <w:rsid w:val="3A4A73CA"/>
    <w:rsid w:val="3AA04683"/>
    <w:rsid w:val="3AA810DF"/>
    <w:rsid w:val="3AC14B10"/>
    <w:rsid w:val="3AD155DE"/>
    <w:rsid w:val="3AE1640C"/>
    <w:rsid w:val="3B6444BC"/>
    <w:rsid w:val="3B9603ED"/>
    <w:rsid w:val="3BC36276"/>
    <w:rsid w:val="3C2105FF"/>
    <w:rsid w:val="3C241B9C"/>
    <w:rsid w:val="3C4147FD"/>
    <w:rsid w:val="3C4B11D8"/>
    <w:rsid w:val="3C613E3F"/>
    <w:rsid w:val="3C822055"/>
    <w:rsid w:val="3C863B7B"/>
    <w:rsid w:val="3CBE7BFC"/>
    <w:rsid w:val="3CD55607"/>
    <w:rsid w:val="3CE05DC4"/>
    <w:rsid w:val="3D5531D9"/>
    <w:rsid w:val="3D9441D2"/>
    <w:rsid w:val="3DA77D7E"/>
    <w:rsid w:val="3DAF081D"/>
    <w:rsid w:val="3DD86C16"/>
    <w:rsid w:val="3DE90CA8"/>
    <w:rsid w:val="3E8C4523"/>
    <w:rsid w:val="3EA018E1"/>
    <w:rsid w:val="3EB70DA6"/>
    <w:rsid w:val="3F281A71"/>
    <w:rsid w:val="3F340649"/>
    <w:rsid w:val="3FB41EE5"/>
    <w:rsid w:val="3FCE7AC4"/>
    <w:rsid w:val="3FE479AA"/>
    <w:rsid w:val="40271F5C"/>
    <w:rsid w:val="408711A0"/>
    <w:rsid w:val="40A84E4B"/>
    <w:rsid w:val="40F37AD9"/>
    <w:rsid w:val="41E719A3"/>
    <w:rsid w:val="41F4535B"/>
    <w:rsid w:val="42045F20"/>
    <w:rsid w:val="420E12C4"/>
    <w:rsid w:val="42537038"/>
    <w:rsid w:val="43246D8D"/>
    <w:rsid w:val="435A7F52"/>
    <w:rsid w:val="43A538C3"/>
    <w:rsid w:val="444154C5"/>
    <w:rsid w:val="449D30CC"/>
    <w:rsid w:val="44A30DEC"/>
    <w:rsid w:val="44AE4866"/>
    <w:rsid w:val="45772895"/>
    <w:rsid w:val="457D1D9C"/>
    <w:rsid w:val="45803400"/>
    <w:rsid w:val="45BB79DD"/>
    <w:rsid w:val="45CF72E9"/>
    <w:rsid w:val="45FD1795"/>
    <w:rsid w:val="46093D49"/>
    <w:rsid w:val="46130FB8"/>
    <w:rsid w:val="462B5EFF"/>
    <w:rsid w:val="462D21C8"/>
    <w:rsid w:val="463B7C5D"/>
    <w:rsid w:val="4655438B"/>
    <w:rsid w:val="46B857AC"/>
    <w:rsid w:val="46DC2848"/>
    <w:rsid w:val="46E91D19"/>
    <w:rsid w:val="47094169"/>
    <w:rsid w:val="47A345BE"/>
    <w:rsid w:val="47F6269E"/>
    <w:rsid w:val="48223721"/>
    <w:rsid w:val="48912514"/>
    <w:rsid w:val="48964F48"/>
    <w:rsid w:val="489D5879"/>
    <w:rsid w:val="48BF5427"/>
    <w:rsid w:val="48C5456D"/>
    <w:rsid w:val="48D10CB7"/>
    <w:rsid w:val="492749FA"/>
    <w:rsid w:val="49423962"/>
    <w:rsid w:val="49663AF5"/>
    <w:rsid w:val="49B34D65"/>
    <w:rsid w:val="49DE16BA"/>
    <w:rsid w:val="4A304379"/>
    <w:rsid w:val="4A3B6D2F"/>
    <w:rsid w:val="4A4361AB"/>
    <w:rsid w:val="4A7D2EA4"/>
    <w:rsid w:val="4A93444B"/>
    <w:rsid w:val="4AA448D5"/>
    <w:rsid w:val="4AB83EDC"/>
    <w:rsid w:val="4ABB39CC"/>
    <w:rsid w:val="4AF56A77"/>
    <w:rsid w:val="4B3F02E5"/>
    <w:rsid w:val="4B683B54"/>
    <w:rsid w:val="4B7750CC"/>
    <w:rsid w:val="4B9A5CD8"/>
    <w:rsid w:val="4BA267FC"/>
    <w:rsid w:val="4C0513A3"/>
    <w:rsid w:val="4C2004D2"/>
    <w:rsid w:val="4C455C15"/>
    <w:rsid w:val="4CAA5AA7"/>
    <w:rsid w:val="4CAC4C11"/>
    <w:rsid w:val="4CCE2D28"/>
    <w:rsid w:val="4CD65AF1"/>
    <w:rsid w:val="4D2B3A13"/>
    <w:rsid w:val="4D3E0F5C"/>
    <w:rsid w:val="4DD0778F"/>
    <w:rsid w:val="4DD54DA5"/>
    <w:rsid w:val="4DE93BB4"/>
    <w:rsid w:val="4E0D6834"/>
    <w:rsid w:val="4EDC0E0D"/>
    <w:rsid w:val="4F455F5A"/>
    <w:rsid w:val="4F5119A9"/>
    <w:rsid w:val="4FAA7E31"/>
    <w:rsid w:val="4FBF7ABB"/>
    <w:rsid w:val="502D564B"/>
    <w:rsid w:val="50F44968"/>
    <w:rsid w:val="51815325"/>
    <w:rsid w:val="51826FF2"/>
    <w:rsid w:val="51CF67BB"/>
    <w:rsid w:val="51FE53F3"/>
    <w:rsid w:val="520D7203"/>
    <w:rsid w:val="521C1E3B"/>
    <w:rsid w:val="523E2D7D"/>
    <w:rsid w:val="524B21DC"/>
    <w:rsid w:val="524D13AE"/>
    <w:rsid w:val="528D3EA0"/>
    <w:rsid w:val="52A766E1"/>
    <w:rsid w:val="52CD0741"/>
    <w:rsid w:val="52E8557B"/>
    <w:rsid w:val="534307B9"/>
    <w:rsid w:val="539A6875"/>
    <w:rsid w:val="53C47488"/>
    <w:rsid w:val="541128AF"/>
    <w:rsid w:val="542919A7"/>
    <w:rsid w:val="543875EA"/>
    <w:rsid w:val="54420CBA"/>
    <w:rsid w:val="546B2430"/>
    <w:rsid w:val="54A737D9"/>
    <w:rsid w:val="54AD25D8"/>
    <w:rsid w:val="54E56DB8"/>
    <w:rsid w:val="55081F04"/>
    <w:rsid w:val="56356D29"/>
    <w:rsid w:val="56624F15"/>
    <w:rsid w:val="56C8194B"/>
    <w:rsid w:val="57122577"/>
    <w:rsid w:val="571713FD"/>
    <w:rsid w:val="571E0B54"/>
    <w:rsid w:val="57923D07"/>
    <w:rsid w:val="57A17B55"/>
    <w:rsid w:val="57B41ECF"/>
    <w:rsid w:val="57E559D8"/>
    <w:rsid w:val="58006EC2"/>
    <w:rsid w:val="58311772"/>
    <w:rsid w:val="58405B96"/>
    <w:rsid w:val="585334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3071F"/>
    <w:rsid w:val="5D3C099D"/>
    <w:rsid w:val="5D647EF4"/>
    <w:rsid w:val="5D6572C2"/>
    <w:rsid w:val="5D9E1657"/>
    <w:rsid w:val="5DD706C5"/>
    <w:rsid w:val="5DDD7B99"/>
    <w:rsid w:val="5E084CA6"/>
    <w:rsid w:val="5E4D3DF3"/>
    <w:rsid w:val="5E6A778C"/>
    <w:rsid w:val="5F1527E7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B1343"/>
    <w:rsid w:val="616F4BE7"/>
    <w:rsid w:val="61DD0315"/>
    <w:rsid w:val="62956D6A"/>
    <w:rsid w:val="62A9515B"/>
    <w:rsid w:val="62AE40EB"/>
    <w:rsid w:val="62EE4B72"/>
    <w:rsid w:val="631819C5"/>
    <w:rsid w:val="633604BC"/>
    <w:rsid w:val="635F53E5"/>
    <w:rsid w:val="63657C6E"/>
    <w:rsid w:val="63814E23"/>
    <w:rsid w:val="63B75221"/>
    <w:rsid w:val="640A6EFE"/>
    <w:rsid w:val="642D103F"/>
    <w:rsid w:val="658C3CD3"/>
    <w:rsid w:val="65B10BA4"/>
    <w:rsid w:val="65EA7867"/>
    <w:rsid w:val="661E1587"/>
    <w:rsid w:val="66353439"/>
    <w:rsid w:val="66682803"/>
    <w:rsid w:val="66CD6B09"/>
    <w:rsid w:val="66FF7AB3"/>
    <w:rsid w:val="67206C39"/>
    <w:rsid w:val="67317098"/>
    <w:rsid w:val="674566A0"/>
    <w:rsid w:val="675F4A5E"/>
    <w:rsid w:val="67705E13"/>
    <w:rsid w:val="67890C82"/>
    <w:rsid w:val="67955F1C"/>
    <w:rsid w:val="67D86D04"/>
    <w:rsid w:val="67E87F4D"/>
    <w:rsid w:val="681D536B"/>
    <w:rsid w:val="686A0AB4"/>
    <w:rsid w:val="68745730"/>
    <w:rsid w:val="687849F5"/>
    <w:rsid w:val="69230C63"/>
    <w:rsid w:val="695164F9"/>
    <w:rsid w:val="696C43B8"/>
    <w:rsid w:val="69855479"/>
    <w:rsid w:val="69967687"/>
    <w:rsid w:val="69B67C91"/>
    <w:rsid w:val="69DA4D55"/>
    <w:rsid w:val="69E4550E"/>
    <w:rsid w:val="6A222CC8"/>
    <w:rsid w:val="6A372590"/>
    <w:rsid w:val="6A826B3B"/>
    <w:rsid w:val="6A88688D"/>
    <w:rsid w:val="6A9A13A2"/>
    <w:rsid w:val="6AB853DB"/>
    <w:rsid w:val="6B2A75ED"/>
    <w:rsid w:val="6B317667"/>
    <w:rsid w:val="6B9E2823"/>
    <w:rsid w:val="6BC71D79"/>
    <w:rsid w:val="6BC93D43"/>
    <w:rsid w:val="6C317BB9"/>
    <w:rsid w:val="6CBC6F5E"/>
    <w:rsid w:val="6CF12E13"/>
    <w:rsid w:val="6D332114"/>
    <w:rsid w:val="6D8D1A6E"/>
    <w:rsid w:val="6D8E62E1"/>
    <w:rsid w:val="6DE005B8"/>
    <w:rsid w:val="6DE25FD7"/>
    <w:rsid w:val="6DF856F9"/>
    <w:rsid w:val="6DFF3A4C"/>
    <w:rsid w:val="6E3022FE"/>
    <w:rsid w:val="6ED40EA6"/>
    <w:rsid w:val="6EE174CF"/>
    <w:rsid w:val="6EE36ECA"/>
    <w:rsid w:val="6F433964"/>
    <w:rsid w:val="6F8B2E4B"/>
    <w:rsid w:val="702B02E0"/>
    <w:rsid w:val="70D94A29"/>
    <w:rsid w:val="70DA1F66"/>
    <w:rsid w:val="70E272B2"/>
    <w:rsid w:val="717D0D5C"/>
    <w:rsid w:val="71B42DA0"/>
    <w:rsid w:val="71DB7417"/>
    <w:rsid w:val="71F238C8"/>
    <w:rsid w:val="71F6497B"/>
    <w:rsid w:val="72255721"/>
    <w:rsid w:val="72D14631"/>
    <w:rsid w:val="72F2170B"/>
    <w:rsid w:val="73025106"/>
    <w:rsid w:val="73171838"/>
    <w:rsid w:val="734E04B5"/>
    <w:rsid w:val="73904859"/>
    <w:rsid w:val="742B5128"/>
    <w:rsid w:val="74586D47"/>
    <w:rsid w:val="746F2D2A"/>
    <w:rsid w:val="74AC0E38"/>
    <w:rsid w:val="74B3797D"/>
    <w:rsid w:val="74C90910"/>
    <w:rsid w:val="74EE481B"/>
    <w:rsid w:val="75020EA3"/>
    <w:rsid w:val="75364CB4"/>
    <w:rsid w:val="75575F1C"/>
    <w:rsid w:val="75755697"/>
    <w:rsid w:val="75B95D13"/>
    <w:rsid w:val="75E747C4"/>
    <w:rsid w:val="75EC6CAD"/>
    <w:rsid w:val="76057F76"/>
    <w:rsid w:val="76126817"/>
    <w:rsid w:val="764A78A0"/>
    <w:rsid w:val="76946CFC"/>
    <w:rsid w:val="76997769"/>
    <w:rsid w:val="76B850E0"/>
    <w:rsid w:val="76BD26F7"/>
    <w:rsid w:val="76BD44A5"/>
    <w:rsid w:val="7711528B"/>
    <w:rsid w:val="7754770A"/>
    <w:rsid w:val="77700D28"/>
    <w:rsid w:val="779B768D"/>
    <w:rsid w:val="78335B5C"/>
    <w:rsid w:val="7867006C"/>
    <w:rsid w:val="78C95383"/>
    <w:rsid w:val="78C95DE4"/>
    <w:rsid w:val="78CE015D"/>
    <w:rsid w:val="78EF1320"/>
    <w:rsid w:val="7916739A"/>
    <w:rsid w:val="794F58EF"/>
    <w:rsid w:val="7A097A01"/>
    <w:rsid w:val="7A285046"/>
    <w:rsid w:val="7A5769BE"/>
    <w:rsid w:val="7A6C488F"/>
    <w:rsid w:val="7A9149E2"/>
    <w:rsid w:val="7AB3015A"/>
    <w:rsid w:val="7ACB734E"/>
    <w:rsid w:val="7ADD5115"/>
    <w:rsid w:val="7B0B3A07"/>
    <w:rsid w:val="7B7A0BB6"/>
    <w:rsid w:val="7B9B28DB"/>
    <w:rsid w:val="7BF162E5"/>
    <w:rsid w:val="7C0B22B7"/>
    <w:rsid w:val="7C3A12F7"/>
    <w:rsid w:val="7C43522B"/>
    <w:rsid w:val="7C5A4C6A"/>
    <w:rsid w:val="7CB20263"/>
    <w:rsid w:val="7CCF0A8E"/>
    <w:rsid w:val="7CE502B1"/>
    <w:rsid w:val="7CEB6281"/>
    <w:rsid w:val="7D3F20B7"/>
    <w:rsid w:val="7DD85E90"/>
    <w:rsid w:val="7E0463E6"/>
    <w:rsid w:val="7E325778"/>
    <w:rsid w:val="7E4434CD"/>
    <w:rsid w:val="7E7A672F"/>
    <w:rsid w:val="7F231565"/>
    <w:rsid w:val="7F392B36"/>
    <w:rsid w:val="7F3D3110"/>
    <w:rsid w:val="7F525E81"/>
    <w:rsid w:val="7F6126BB"/>
    <w:rsid w:val="7F647E1B"/>
    <w:rsid w:val="7F6F6558"/>
    <w:rsid w:val="7F701B3E"/>
    <w:rsid w:val="7F9B25CA"/>
    <w:rsid w:val="7FC2585B"/>
    <w:rsid w:val="7FC56884"/>
    <w:rsid w:val="7FC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黑体" w:hAnsi="黑体" w:eastAsia="黑体" w:cs="黑体"/>
      <w:sz w:val="17"/>
      <w:szCs w:val="17"/>
      <w:lang w:val="en-US" w:eastAsia="en-US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paragraph" w:styleId="11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2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2214</Words>
  <Characters>2303</Characters>
  <Lines>1</Lines>
  <Paragraphs>1</Paragraphs>
  <TotalTime>8</TotalTime>
  <ScaleCrop>false</ScaleCrop>
  <LinksUpToDate>false</LinksUpToDate>
  <CharactersWithSpaces>2330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dt</cp:lastModifiedBy>
  <cp:lastPrinted>2025-02-26T02:40:00Z</cp:lastPrinted>
  <dcterms:modified xsi:type="dcterms:W3CDTF">2025-09-09T00:41:10Z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E1A358125F0A470EBDDB2D169512CAEB_13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